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63" w:rsidRDefault="00110163" w:rsidP="00110163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lang w:val="ru-RU"/>
        </w:rPr>
      </w:pPr>
      <w:r>
        <w:rPr>
          <w:lang w:val="ru-RU"/>
        </w:rPr>
        <w:t xml:space="preserve">Приглашение к участию в торгах </w:t>
      </w:r>
    </w:p>
    <w:p w:rsidR="00110163" w:rsidRDefault="00110163" w:rsidP="00110163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lang w:val="ru-RU"/>
        </w:rPr>
      </w:pPr>
    </w:p>
    <w:p w:rsidR="00110163" w:rsidRDefault="00110163" w:rsidP="00110163">
      <w:pPr>
        <w:numPr>
          <w:ilvl w:val="12"/>
          <w:numId w:val="0"/>
        </w:numPr>
        <w:rPr>
          <w:sz w:val="22"/>
          <w:lang w:val="ru-RU"/>
        </w:rPr>
      </w:pPr>
      <w:r>
        <w:rPr>
          <w:smallCaps/>
          <w:lang w:val="ru-RU"/>
        </w:rPr>
        <w:t xml:space="preserve"> </w:t>
      </w:r>
    </w:p>
    <w:p w:rsidR="00110163" w:rsidRPr="00110163" w:rsidRDefault="00110163" w:rsidP="00110163">
      <w:pPr>
        <w:numPr>
          <w:ilvl w:val="12"/>
          <w:numId w:val="0"/>
        </w:numPr>
        <w:shd w:val="clear" w:color="auto" w:fill="FFFFFF"/>
        <w:jc w:val="center"/>
        <w:rPr>
          <w:rStyle w:val="preparersnote"/>
          <w:rFonts w:ascii="Times New Roman Bold" w:hAnsi="Times New Roman Bold"/>
          <w:i w:val="0"/>
          <w:vertAlign w:val="superscript"/>
          <w:lang w:val="ru-RU"/>
        </w:rPr>
      </w:pPr>
      <w:r>
        <w:rPr>
          <w:rStyle w:val="preparersnote"/>
          <w:lang w:val="ru-RU"/>
        </w:rPr>
        <w:t>30 декабря 2020 года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jc w:val="center"/>
        <w:rPr>
          <w:rStyle w:val="preparersnote"/>
          <w:lang w:val="ru-RU"/>
        </w:rPr>
      </w:pPr>
      <w:r>
        <w:rPr>
          <w:rStyle w:val="preparersnote"/>
          <w:lang w:val="ru-RU"/>
        </w:rPr>
        <w:t>Российская Федерация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jc w:val="center"/>
        <w:rPr>
          <w:rStyle w:val="preparersnote"/>
          <w:lang w:val="ru-RU"/>
        </w:rPr>
      </w:pPr>
      <w:r>
        <w:rPr>
          <w:rStyle w:val="preparersnote"/>
          <w:lang w:val="ru-RU"/>
        </w:rPr>
        <w:t xml:space="preserve">Проект «Содействие развитию судебной системы Российской Федерации» 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jc w:val="center"/>
        <w:rPr>
          <w:rStyle w:val="preparersnote"/>
          <w:lang w:val="ru-RU"/>
        </w:rPr>
      </w:pPr>
      <w:r>
        <w:rPr>
          <w:rStyle w:val="preparersnote"/>
          <w:lang w:val="ru-RU"/>
        </w:rPr>
        <w:t>Заем 17RU01</w:t>
      </w:r>
    </w:p>
    <w:p w:rsidR="00110163" w:rsidRPr="00110163" w:rsidRDefault="00110163" w:rsidP="00110163">
      <w:pPr>
        <w:jc w:val="center"/>
        <w:rPr>
          <w:lang w:val="ru-RU"/>
        </w:rPr>
      </w:pPr>
      <w:r>
        <w:rPr>
          <w:b/>
          <w:i/>
          <w:lang w:val="ru-RU"/>
        </w:rPr>
        <w:t>«Строительство зданий для 4-х районных судов города Москвы (</w:t>
      </w:r>
      <w:proofErr w:type="spellStart"/>
      <w:r>
        <w:rPr>
          <w:b/>
          <w:i/>
          <w:lang w:val="ru-RU"/>
        </w:rPr>
        <w:t>Кузьминский</w:t>
      </w:r>
      <w:proofErr w:type="spellEnd"/>
      <w:r>
        <w:rPr>
          <w:b/>
          <w:i/>
          <w:lang w:val="ru-RU"/>
        </w:rPr>
        <w:t xml:space="preserve">, </w:t>
      </w:r>
      <w:proofErr w:type="spellStart"/>
      <w:r>
        <w:rPr>
          <w:b/>
          <w:i/>
          <w:lang w:val="ru-RU"/>
        </w:rPr>
        <w:t>Чертановский</w:t>
      </w:r>
      <w:proofErr w:type="spellEnd"/>
      <w:r>
        <w:rPr>
          <w:b/>
          <w:i/>
          <w:lang w:val="ru-RU"/>
        </w:rPr>
        <w:t xml:space="preserve">, Савеловский, </w:t>
      </w:r>
      <w:proofErr w:type="spellStart"/>
      <w:r>
        <w:rPr>
          <w:b/>
          <w:i/>
          <w:lang w:val="ru-RU"/>
        </w:rPr>
        <w:t>Коптевский</w:t>
      </w:r>
      <w:proofErr w:type="spellEnd"/>
      <w:r>
        <w:rPr>
          <w:b/>
          <w:i/>
          <w:lang w:val="ru-RU"/>
        </w:rPr>
        <w:t>)  (1 очередь)»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jc w:val="center"/>
        <w:rPr>
          <w:rStyle w:val="preparersnote"/>
        </w:rPr>
      </w:pPr>
      <w:r>
        <w:rPr>
          <w:rStyle w:val="preparersnote"/>
          <w:lang w:val="ru-RU"/>
        </w:rPr>
        <w:t xml:space="preserve"> Номер </w:t>
      </w:r>
      <w:r>
        <w:rPr>
          <w:rStyle w:val="preparersnote"/>
        </w:rPr>
        <w:t>ПУТ: JSSP/ICB/1.</w:t>
      </w:r>
      <w:r>
        <w:rPr>
          <w:rStyle w:val="preparersnote"/>
          <w:lang w:val="ru-RU"/>
        </w:rPr>
        <w:t>1</w:t>
      </w:r>
      <w:r>
        <w:rPr>
          <w:rStyle w:val="preparersnote"/>
        </w:rPr>
        <w:t>.</w:t>
      </w:r>
      <w:r>
        <w:rPr>
          <w:rStyle w:val="preparersnote"/>
          <w:lang w:val="ru-RU"/>
        </w:rPr>
        <w:t>3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</w:pP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Российская Федерация получила заем от Нового банка развития (НБР) в счет стоимости проекта «Содействие развитию судебной системы Российской Федерации» и намерена использовать часть средств данного займа для финансирования платежей по контракт</w:t>
      </w:r>
      <w:proofErr w:type="gramStart"/>
      <w:r>
        <w:rPr>
          <w:lang w:val="ru-RU"/>
        </w:rPr>
        <w:t>у(</w:t>
      </w:r>
      <w:proofErr w:type="spellStart"/>
      <w:proofErr w:type="gramEnd"/>
      <w:r>
        <w:rPr>
          <w:lang w:val="ru-RU"/>
        </w:rPr>
        <w:t>ам</w:t>
      </w:r>
      <w:proofErr w:type="spellEnd"/>
      <w:r>
        <w:rPr>
          <w:lang w:val="ru-RU"/>
        </w:rPr>
        <w:t>), который(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>) будет(</w:t>
      </w:r>
      <w:proofErr w:type="spellStart"/>
      <w:r>
        <w:rPr>
          <w:lang w:val="ru-RU"/>
        </w:rPr>
        <w:t>ут</w:t>
      </w:r>
      <w:proofErr w:type="spellEnd"/>
      <w:r>
        <w:rPr>
          <w:lang w:val="ru-RU"/>
        </w:rPr>
        <w:t>) заключен(</w:t>
      </w:r>
      <w:proofErr w:type="spellStart"/>
      <w:r>
        <w:rPr>
          <w:lang w:val="ru-RU"/>
        </w:rPr>
        <w:t>ы</w:t>
      </w:r>
      <w:proofErr w:type="spellEnd"/>
      <w:r>
        <w:rPr>
          <w:lang w:val="ru-RU"/>
        </w:rPr>
        <w:t>) на основании настоящего ПУТ № JSSP/ICB/1.1.3 «Строительство зданий для 4-х районных судов города Москвы (</w:t>
      </w:r>
      <w:proofErr w:type="spellStart"/>
      <w:r>
        <w:rPr>
          <w:lang w:val="ru-RU"/>
        </w:rPr>
        <w:t>Кузьминский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Чертановский</w:t>
      </w:r>
      <w:proofErr w:type="spellEnd"/>
      <w:r>
        <w:rPr>
          <w:lang w:val="ru-RU"/>
        </w:rPr>
        <w:t xml:space="preserve">, Савеловский, </w:t>
      </w:r>
      <w:proofErr w:type="spellStart"/>
      <w:r>
        <w:rPr>
          <w:lang w:val="ru-RU"/>
        </w:rPr>
        <w:t>Коптевский</w:t>
      </w:r>
      <w:proofErr w:type="spellEnd"/>
      <w:r>
        <w:rPr>
          <w:lang w:val="ru-RU"/>
        </w:rPr>
        <w:t>)  (1 очередь)».</w:t>
      </w: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proofErr w:type="gramStart"/>
      <w:r>
        <w:rPr>
          <w:lang w:val="ru-RU"/>
        </w:rPr>
        <w:t>Некоммерческий фонд реструктуризации предприятий и развития финансовых институтов (ФРП), который уполномочен Министерством экономического развития Российской Федерации провести конкурс и в дальнейшем подписать контракты в интересах Московского городского суда с победившим в конкурсе Подрядчиком, настоящим приглашает правомочных Участников торгов представить в запечатанном виде конкурсные предложения на строительство зданий для районных судов города Москвы  по следующим лотам: 1.</w:t>
      </w:r>
      <w:proofErr w:type="gramEnd"/>
      <w:r>
        <w:rPr>
          <w:lang w:val="ru-RU"/>
        </w:rPr>
        <w:t xml:space="preserve"> Лот (контракт) №</w:t>
      </w:r>
      <w:r>
        <w:t> </w:t>
      </w:r>
      <w:r>
        <w:rPr>
          <w:lang w:val="ru-RU"/>
        </w:rPr>
        <w:t>1 “Строительство зданий для 2-х районных судов города Москвы (</w:t>
      </w:r>
      <w:proofErr w:type="spellStart"/>
      <w:r>
        <w:rPr>
          <w:lang w:val="ru-RU"/>
        </w:rPr>
        <w:t>Коптевский</w:t>
      </w:r>
      <w:proofErr w:type="spellEnd"/>
      <w:r>
        <w:rPr>
          <w:lang w:val="ru-RU"/>
        </w:rPr>
        <w:t xml:space="preserve"> районный суд г. Москвы и Савеловский районный суд г. Москвы) ”; 2. Лот (контракт) №</w:t>
      </w:r>
      <w:r>
        <w:t> </w:t>
      </w:r>
      <w:r>
        <w:rPr>
          <w:lang w:val="ru-RU"/>
        </w:rPr>
        <w:t>2 “ Строительство зданий для 2-х районных судов города Москвы (</w:t>
      </w:r>
      <w:proofErr w:type="spellStart"/>
      <w:r>
        <w:rPr>
          <w:lang w:val="ru-RU"/>
        </w:rPr>
        <w:t>Кузьминский</w:t>
      </w:r>
      <w:proofErr w:type="spellEnd"/>
      <w:r>
        <w:rPr>
          <w:lang w:val="ru-RU"/>
        </w:rPr>
        <w:t xml:space="preserve"> районный суд г. Москвы и </w:t>
      </w:r>
      <w:proofErr w:type="spellStart"/>
      <w:r>
        <w:rPr>
          <w:lang w:val="ru-RU"/>
        </w:rPr>
        <w:t>Чертановский</w:t>
      </w:r>
      <w:proofErr w:type="spellEnd"/>
      <w:r>
        <w:rPr>
          <w:lang w:val="ru-RU"/>
        </w:rPr>
        <w:t xml:space="preserve"> районный суд г. Москвы) ”. Общая площадь каждого здания составляет от 10 до 12 тысяч квадратных метров, место выполнения работ – г. Москва, срок выполнения работ – 21 месяц.</w:t>
      </w: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Торги будут проводиться в </w:t>
      </w:r>
      <w:proofErr w:type="gramStart"/>
      <w:r>
        <w:rPr>
          <w:lang w:val="ru-RU"/>
        </w:rPr>
        <w:t>соответствии</w:t>
      </w:r>
      <w:proofErr w:type="gramEnd"/>
      <w:r>
        <w:rPr>
          <w:lang w:val="ru-RU"/>
        </w:rPr>
        <w:t xml:space="preserve"> с процедурами международных конкурсных торгов (МКТ), описанными в Политике закупок НБР (в редакции 2016 г. с последующими изменениями) и в Руководстве Всемирного банка: «Закупки по займам МБРР и кредитам МАР», датированном январем 2011 года с изменениями от июля 2014 года, и в соответствии с Политикой закупок НБР будут открыты </w:t>
      </w:r>
      <w:r w:rsidR="00C07E9D">
        <w:rPr>
          <w:lang w:val="ru-RU"/>
        </w:rPr>
        <w:t>для всех правомочных участников</w:t>
      </w:r>
      <w:r>
        <w:rPr>
          <w:lang w:val="ru-RU"/>
        </w:rPr>
        <w:t>, отвечающих следующим минимальным квалификационным критериям:</w:t>
      </w:r>
    </w:p>
    <w:p w:rsidR="00110163" w:rsidRDefault="00110163" w:rsidP="00110163">
      <w:pPr>
        <w:shd w:val="clear" w:color="auto" w:fill="FFFFFF"/>
        <w:ind w:left="426"/>
        <w:rPr>
          <w:u w:val="single"/>
          <w:lang w:val="ru-RU"/>
        </w:rPr>
      </w:pPr>
    </w:p>
    <w:p w:rsidR="00110163" w:rsidRDefault="00110163" w:rsidP="00C07E9D">
      <w:pPr>
        <w:shd w:val="clear" w:color="auto" w:fill="FFFFFF"/>
        <w:ind w:left="426"/>
        <w:jc w:val="both"/>
        <w:rPr>
          <w:u w:val="single"/>
          <w:lang w:val="ru-RU"/>
        </w:rPr>
      </w:pPr>
      <w:proofErr w:type="spellStart"/>
      <w:r>
        <w:rPr>
          <w:u w:val="single"/>
          <w:lang w:val="ru-RU"/>
        </w:rPr>
        <w:t>a</w:t>
      </w:r>
      <w:proofErr w:type="spellEnd"/>
      <w:r>
        <w:rPr>
          <w:u w:val="single"/>
          <w:lang w:val="ru-RU"/>
        </w:rPr>
        <w:t>)</w:t>
      </w:r>
      <w:r>
        <w:rPr>
          <w:u w:val="single"/>
          <w:lang w:val="ru-RU"/>
        </w:rPr>
        <w:tab/>
        <w:t>Финансовые возможности</w:t>
      </w:r>
    </w:p>
    <w:p w:rsidR="00110163" w:rsidRDefault="00110163" w:rsidP="00C07E9D">
      <w:pPr>
        <w:ind w:left="426"/>
        <w:jc w:val="both"/>
        <w:rPr>
          <w:lang w:val="ru-RU"/>
        </w:rPr>
      </w:pPr>
      <w:r>
        <w:rPr>
          <w:lang w:val="ru-RU"/>
        </w:rPr>
        <w:t>(1) Минимальный средний годовой оборот от строительной деятельности, деятельность в реализации проектов в сфере информационных технологий в размере эквивалента 4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(четыре миллиарда) рублей, рассчитываемый как сумма заверенных платежей, полученных за действующие или завершенные контракты за последние  три (3) года, деленная на количество лет.</w:t>
      </w:r>
    </w:p>
    <w:p w:rsidR="00110163" w:rsidRDefault="00110163" w:rsidP="00C07E9D">
      <w:pPr>
        <w:ind w:left="426"/>
        <w:jc w:val="both"/>
        <w:rPr>
          <w:iCs/>
          <w:lang w:val="ru-RU"/>
        </w:rPr>
      </w:pPr>
      <w:r>
        <w:rPr>
          <w:iCs/>
          <w:lang w:val="ru-RU"/>
        </w:rPr>
        <w:t xml:space="preserve">(2) Возможность получения или наличие финансовых средств, таких как ликвидные средства, незаложенное недвижимое имущество, кредитные лимиты и другие средства финансирования, кроме каких-либо авансовых платежей по </w:t>
      </w:r>
      <w:r>
        <w:rPr>
          <w:iCs/>
          <w:lang w:val="ru-RU"/>
        </w:rPr>
        <w:lastRenderedPageBreak/>
        <w:t>контракту, выполнить требования по движению денежной наличности: эквивалент 300</w:t>
      </w:r>
      <w:r>
        <w:rPr>
          <w:iCs/>
        </w:rPr>
        <w:t> </w:t>
      </w:r>
      <w:r>
        <w:rPr>
          <w:iCs/>
          <w:lang w:val="ru-RU"/>
        </w:rPr>
        <w:t>000</w:t>
      </w:r>
      <w:r>
        <w:rPr>
          <w:iCs/>
        </w:rPr>
        <w:t> </w:t>
      </w:r>
      <w:r>
        <w:rPr>
          <w:iCs/>
          <w:lang w:val="ru-RU"/>
        </w:rPr>
        <w:t>000 (Триста миллионов)  рублей для одного контракта.</w:t>
      </w:r>
    </w:p>
    <w:p w:rsidR="00C07E9D" w:rsidRDefault="00C07E9D" w:rsidP="00C07E9D">
      <w:pPr>
        <w:ind w:left="426"/>
        <w:jc w:val="both"/>
        <w:rPr>
          <w:lang w:val="ru-RU"/>
        </w:rPr>
      </w:pPr>
    </w:p>
    <w:p w:rsidR="00110163" w:rsidRDefault="00110163" w:rsidP="00C07E9D">
      <w:pPr>
        <w:shd w:val="clear" w:color="auto" w:fill="FFFFFF"/>
        <w:ind w:left="426"/>
        <w:jc w:val="both"/>
        <w:rPr>
          <w:u w:val="single"/>
          <w:lang w:val="ru-RU"/>
        </w:rPr>
      </w:pPr>
      <w:r>
        <w:rPr>
          <w:u w:val="single"/>
        </w:rPr>
        <w:t>b</w:t>
      </w:r>
      <w:r>
        <w:rPr>
          <w:u w:val="single"/>
          <w:lang w:val="ru-RU"/>
        </w:rPr>
        <w:t>) Общий опыт</w:t>
      </w:r>
    </w:p>
    <w:p w:rsidR="00110163" w:rsidRDefault="00110163" w:rsidP="00C07E9D">
      <w:pPr>
        <w:shd w:val="clear" w:color="auto" w:fill="FFFFFF"/>
        <w:ind w:left="426"/>
        <w:jc w:val="both"/>
        <w:rPr>
          <w:lang w:val="ru-RU"/>
        </w:rPr>
      </w:pPr>
      <w:r>
        <w:rPr>
          <w:lang w:val="ru-RU"/>
        </w:rPr>
        <w:t>(1) Наличие опыта работы по контрактам в роли подрядчика, субподрядчика, или генподрядчика, занимающегося управлением проектом, по меньшей мере, за последние пять (5) лет</w:t>
      </w:r>
      <w:r>
        <w:rPr>
          <w:b/>
          <w:i/>
          <w:lang w:val="ru-RU"/>
        </w:rPr>
        <w:t>,</w:t>
      </w:r>
      <w:r>
        <w:rPr>
          <w:lang w:val="ru-RU"/>
        </w:rPr>
        <w:t xml:space="preserve"> предшествующих окончанию срока подачи предложений, и с деятельностью в течение минимум девяти (9) месяцев в каждом году.</w:t>
      </w:r>
    </w:p>
    <w:p w:rsidR="00110163" w:rsidRDefault="00110163" w:rsidP="00C07E9D">
      <w:pPr>
        <w:ind w:left="426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(2) Участие в роли подрядчика, генподрядчика,  субподрядчика занимающегося управлением проектом за последние пять (5) лет 2015-2019 гг., по крайней мере, в двух (2) контрактах по строительству общественных зданий площадью не менее 10</w:t>
      </w:r>
      <w:r>
        <w:t> </w:t>
      </w:r>
      <w:r>
        <w:rPr>
          <w:lang w:val="ru-RU"/>
        </w:rPr>
        <w:t>000 (десять тысяч) кв. метров, либо несколько общественных зданий общей площадью не менее 25</w:t>
      </w:r>
      <w:r>
        <w:t> </w:t>
      </w:r>
      <w:r>
        <w:rPr>
          <w:lang w:val="ru-RU"/>
        </w:rPr>
        <w:t>000 (двадцать пять тысяч) кв. метров.</w:t>
      </w:r>
      <w:proofErr w:type="gramEnd"/>
      <w:r>
        <w:rPr>
          <w:lang w:val="ru-RU"/>
        </w:rPr>
        <w:t xml:space="preserve"> Каждый из двух (2) контрактов должен быть стоимостью, по меньшей мере, эквивалента 2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(два миллиарда) рублей,</w:t>
      </w:r>
      <w:r>
        <w:rPr>
          <w:rStyle w:val="a9"/>
          <w:lang w:val="ru-RU"/>
        </w:rPr>
        <w:t xml:space="preserve"> </w:t>
      </w:r>
      <w:r>
        <w:rPr>
          <w:lang w:val="ru-RU"/>
        </w:rPr>
        <w:t xml:space="preserve">которые были успешно завершены и аналогичны предлагаемым Сооружениям.  </w:t>
      </w:r>
    </w:p>
    <w:p w:rsidR="00110163" w:rsidRDefault="00110163" w:rsidP="00C07E9D">
      <w:pPr>
        <w:shd w:val="clear" w:color="auto" w:fill="FFFFFF"/>
        <w:ind w:left="426"/>
        <w:jc w:val="both"/>
        <w:rPr>
          <w:lang w:val="ru-RU"/>
        </w:rPr>
      </w:pPr>
      <w:r>
        <w:rPr>
          <w:lang w:val="ru-RU"/>
        </w:rPr>
        <w:t>(3) Либо наличие двух (2) контрактов на оснащение зданий и сооружений комплексами инженерных и информационных систем, количество инженерных или информационных систем  в каждом контракте должно быть не менее пяти (5), при этом сумма каждого контракта должна быть не менее 500 000 (пятьсот миллионов) рублей.</w:t>
      </w:r>
    </w:p>
    <w:p w:rsidR="00C07E9D" w:rsidRDefault="00C07E9D" w:rsidP="00C07E9D">
      <w:pPr>
        <w:shd w:val="clear" w:color="auto" w:fill="FFFFFF"/>
        <w:ind w:left="426"/>
        <w:jc w:val="both"/>
        <w:rPr>
          <w:lang w:val="ru-RU"/>
        </w:rPr>
      </w:pPr>
    </w:p>
    <w:p w:rsidR="00110163" w:rsidRDefault="00110163" w:rsidP="00C07E9D">
      <w:pPr>
        <w:shd w:val="clear" w:color="auto" w:fill="FFFFFF"/>
        <w:ind w:left="425"/>
        <w:jc w:val="both"/>
        <w:rPr>
          <w:u w:val="single"/>
          <w:lang w:val="ru-RU"/>
        </w:rPr>
      </w:pPr>
      <w:r>
        <w:rPr>
          <w:u w:val="single"/>
          <w:lang w:val="ru-RU"/>
        </w:rPr>
        <w:t>с)</w:t>
      </w:r>
      <w:r>
        <w:rPr>
          <w:u w:val="single"/>
          <w:lang w:val="ru-RU"/>
        </w:rPr>
        <w:tab/>
        <w:t>Конкретный опыт реализации аналогичных проектов</w:t>
      </w:r>
    </w:p>
    <w:p w:rsidR="00110163" w:rsidRDefault="00110163" w:rsidP="00C07E9D">
      <w:pPr>
        <w:spacing w:before="120"/>
        <w:ind w:left="425"/>
        <w:jc w:val="both"/>
        <w:rPr>
          <w:lang w:val="ru-RU"/>
        </w:rPr>
      </w:pPr>
      <w:r>
        <w:rPr>
          <w:lang w:val="ru-RU"/>
        </w:rPr>
        <w:t xml:space="preserve">Для </w:t>
      </w:r>
      <w:proofErr w:type="gramStart"/>
      <w:r>
        <w:rPr>
          <w:lang w:val="ru-RU"/>
        </w:rPr>
        <w:t>упомянутого</w:t>
      </w:r>
      <w:proofErr w:type="gramEnd"/>
      <w:r>
        <w:rPr>
          <w:lang w:val="ru-RU"/>
        </w:rPr>
        <w:t xml:space="preserve"> выше или для других контрактов, требуется минимальный опыт в следующих основных видах работ за последние пять (5) лет (2015-2019 гг.):</w:t>
      </w:r>
    </w:p>
    <w:p w:rsidR="00110163" w:rsidRDefault="00110163" w:rsidP="00C07E9D">
      <w:pPr>
        <w:spacing w:before="120"/>
        <w:ind w:left="425"/>
        <w:jc w:val="both"/>
        <w:rPr>
          <w:lang w:val="ru-RU"/>
        </w:rPr>
      </w:pPr>
      <w:r>
        <w:rPr>
          <w:lang w:val="ru-RU"/>
        </w:rPr>
        <w:t xml:space="preserve">(1)  Поставка и выполнение работ по монтажу и инсталляции серверного оборудования, систем аудио  - видеозаписи, систем хранения данных, видеоконференцсвязи, информационной безопасности, сетевого оборудования и системной </w:t>
      </w:r>
      <w:proofErr w:type="gramStart"/>
      <w:r>
        <w:rPr>
          <w:lang w:val="ru-RU"/>
        </w:rPr>
        <w:t>ИТ</w:t>
      </w:r>
      <w:proofErr w:type="gramEnd"/>
      <w:r>
        <w:rPr>
          <w:lang w:val="ru-RU"/>
        </w:rPr>
        <w:t xml:space="preserve"> инфраструктуры  -  опыт выполнения  работ аналогичного одного контракта стоимостью не менее 200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(двести миллионов) рублей.</w:t>
      </w:r>
    </w:p>
    <w:p w:rsidR="00110163" w:rsidRDefault="00110163" w:rsidP="00C07E9D">
      <w:pPr>
        <w:spacing w:before="120"/>
        <w:ind w:left="425"/>
        <w:jc w:val="both"/>
        <w:rPr>
          <w:lang w:val="ru-RU"/>
        </w:rPr>
      </w:pPr>
      <w:r>
        <w:rPr>
          <w:lang w:val="ru-RU"/>
        </w:rPr>
        <w:t>(2) Миграция данных при внедрении прикладной программной системы, интеграционные работы при создании прикладной программной системы с центральным узлом информационной системы и внедрение прикладного программного обеспечения по автоматизации деятельности государственных органов не менее одного (1) контракта на сумму не менее 30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(тридцать миллионов) рублей.</w:t>
      </w:r>
    </w:p>
    <w:p w:rsidR="00110163" w:rsidRDefault="00110163" w:rsidP="00110163">
      <w:pPr>
        <w:shd w:val="clear" w:color="auto" w:fill="FFFFFF"/>
        <w:ind w:left="425"/>
        <w:jc w:val="both"/>
        <w:rPr>
          <w:sz w:val="20"/>
          <w:szCs w:val="20"/>
          <w:lang w:val="ru-RU"/>
        </w:rPr>
      </w:pPr>
    </w:p>
    <w:p w:rsidR="00110163" w:rsidRDefault="00110163" w:rsidP="00110163">
      <w:pPr>
        <w:shd w:val="clear" w:color="auto" w:fill="FFFFFF"/>
        <w:ind w:left="425"/>
        <w:jc w:val="both"/>
        <w:rPr>
          <w:sz w:val="20"/>
          <w:szCs w:val="20"/>
          <w:lang w:val="ru-RU"/>
        </w:rPr>
      </w:pPr>
    </w:p>
    <w:p w:rsidR="00110163" w:rsidRDefault="00110163" w:rsidP="00110163">
      <w:pPr>
        <w:shd w:val="clear" w:color="auto" w:fill="FFFFFF"/>
        <w:ind w:left="425"/>
        <w:jc w:val="both"/>
        <w:rPr>
          <w:lang w:val="ru-RU"/>
        </w:rPr>
      </w:pPr>
      <w:r>
        <w:t>d</w:t>
      </w:r>
      <w:r>
        <w:rPr>
          <w:lang w:val="ru-RU"/>
        </w:rPr>
        <w:t>)</w:t>
      </w:r>
      <w:r>
        <w:rPr>
          <w:lang w:val="ru-RU"/>
        </w:rPr>
        <w:tab/>
        <w:t>Технические (организационные) возможности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(1) Участник торгов должен быть сертифицирован по стандарту качества </w:t>
      </w:r>
      <w:r>
        <w:t>ISO</w:t>
      </w:r>
      <w:r>
        <w:rPr>
          <w:lang w:val="ru-RU"/>
        </w:rPr>
        <w:t xml:space="preserve"> 9001 (или эквивалентному) или представить собственный план обеспечения качества с тем, чтобы продемонстрировать мероприятия по обеспечению качества, которые будут применяться при выполнении работ по Контракту.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(2) Участник торгов должен быть сертифицирован по стандарту охраны здоровья и безопасности труда работников </w:t>
      </w:r>
      <w:r>
        <w:t>OHSAS</w:t>
      </w:r>
      <w:r>
        <w:rPr>
          <w:lang w:val="ru-RU"/>
        </w:rPr>
        <w:t xml:space="preserve"> 18001 (или эквивалентному) или представить собственный план обеспечения охраны здоровья и безопасности труда с тем, чтобы продемонстрировать мероприятия по обеспечению охраны здоровья и безопасности труда, которые будут применяться при выполнении работ по Контракту.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lastRenderedPageBreak/>
        <w:t xml:space="preserve">(3) Участник торгов должен быть сертифицирован по стандарту охраны окружающей среды </w:t>
      </w:r>
      <w:r>
        <w:t>ISO</w:t>
      </w:r>
      <w:r>
        <w:rPr>
          <w:lang w:val="ru-RU"/>
        </w:rPr>
        <w:t xml:space="preserve"> 14001 (или эквивалентному) или представить собственный план обеспечения охраны окружающей среды с тем, чтобы продемонстрировать мероприятия по обеспечению охраны окружающей среды, которые будут применяться при выполнении работ по Контракту.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>(4) Участник торгов должен иметь БИМ стандарт, утвержденный в компании.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(5) Участник торгов – ответственный партнер должен быть членом </w:t>
      </w:r>
      <w:proofErr w:type="spellStart"/>
      <w:r>
        <w:rPr>
          <w:lang w:val="ru-RU"/>
        </w:rPr>
        <w:t>Саморегулируемой</w:t>
      </w:r>
      <w:proofErr w:type="spellEnd"/>
      <w:r>
        <w:rPr>
          <w:lang w:val="ru-RU"/>
        </w:rPr>
        <w:t xml:space="preserve"> Организации в Российской Федерации (далее – СРО) в области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   СРО, в </w:t>
      </w:r>
      <w:proofErr w:type="gramStart"/>
      <w:r>
        <w:rPr>
          <w:lang w:val="ru-RU"/>
        </w:rPr>
        <w:t>которой</w:t>
      </w:r>
      <w:proofErr w:type="gramEnd"/>
      <w:r>
        <w:rPr>
          <w:lang w:val="ru-RU"/>
        </w:rPr>
        <w:t xml:space="preserve"> состоит Участник, должна иметь компенсационный фонд обеспечения договорных обязательств. </w:t>
      </w:r>
      <w:proofErr w:type="gramStart"/>
      <w:r>
        <w:rPr>
          <w:lang w:val="ru-RU"/>
        </w:rPr>
        <w:t xml:space="preserve">Участник торгов должен предоставить подтверждение уровня ответственности члена </w:t>
      </w:r>
      <w:proofErr w:type="spellStart"/>
      <w:r>
        <w:rPr>
          <w:lang w:val="ru-RU"/>
        </w:rPr>
        <w:t>саморегулируемой</w:t>
      </w:r>
      <w:proofErr w:type="spellEnd"/>
      <w:r>
        <w:rPr>
          <w:lang w:val="ru-RU"/>
        </w:rPr>
        <w:t xml:space="preserve"> организации по обязательствам по договору строительного подряда, заключенным с использованием конкурентных способов заключения договоров, и предельному размеру обязательств по таким договорам, в соответствии с которым указанным членом внесен взнос в компенсационный фонд обеспечения договорных обязательств  не менее  эквивалента 3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</w:t>
      </w:r>
      <w:r>
        <w:t> </w:t>
      </w:r>
      <w:r>
        <w:rPr>
          <w:lang w:val="ru-RU"/>
        </w:rPr>
        <w:t>000 (три миллиарда) рублей.</w:t>
      </w:r>
      <w:proofErr w:type="gramEnd"/>
      <w:r>
        <w:rPr>
          <w:lang w:val="ru-RU"/>
        </w:rPr>
        <w:t xml:space="preserve">   В составе заявки Участник торгов должен представить действующую выписку из реестра членов СРО по форме, которая утверждена Приказом </w:t>
      </w:r>
      <w:proofErr w:type="spellStart"/>
      <w:r>
        <w:rPr>
          <w:lang w:val="ru-RU"/>
        </w:rPr>
        <w:t>Ростехнадзора</w:t>
      </w:r>
      <w:proofErr w:type="spellEnd"/>
      <w:r>
        <w:rPr>
          <w:lang w:val="ru-RU"/>
        </w:rPr>
        <w:t xml:space="preserve"> от 16.02.2017 </w:t>
      </w:r>
      <w:r>
        <w:t>N</w:t>
      </w:r>
      <w:r>
        <w:rPr>
          <w:lang w:val="ru-RU"/>
        </w:rPr>
        <w:t xml:space="preserve"> 58. Выписка должна быть выдана не ранее чем за месяц до даты окончания срока подачи заявок.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 (6) Участник торгов – ответственный партнер должен быть членом </w:t>
      </w:r>
      <w:proofErr w:type="spellStart"/>
      <w:r>
        <w:rPr>
          <w:lang w:val="ru-RU"/>
        </w:rPr>
        <w:t>Саморегулируемой</w:t>
      </w:r>
      <w:proofErr w:type="spellEnd"/>
      <w:r>
        <w:rPr>
          <w:lang w:val="ru-RU"/>
        </w:rPr>
        <w:t xml:space="preserve"> Организации в Российской Федерации в области архитектурно-строительного проектирования. СРО, в </w:t>
      </w:r>
      <w:proofErr w:type="gramStart"/>
      <w:r>
        <w:rPr>
          <w:lang w:val="ru-RU"/>
        </w:rPr>
        <w:t>которой</w:t>
      </w:r>
      <w:proofErr w:type="gramEnd"/>
      <w:r>
        <w:rPr>
          <w:lang w:val="ru-RU"/>
        </w:rPr>
        <w:t xml:space="preserve"> состоит Участник должна иметь компенсационный фонд обеспечения договорных обязательств. В составе заявки Участник торгов должен представить действующую выписку из реестра членов СРО по форме, которая утверждена Приказом </w:t>
      </w:r>
      <w:proofErr w:type="spellStart"/>
      <w:r>
        <w:rPr>
          <w:lang w:val="ru-RU"/>
        </w:rPr>
        <w:t>Ростехнадзора</w:t>
      </w:r>
      <w:proofErr w:type="spellEnd"/>
      <w:r>
        <w:rPr>
          <w:lang w:val="ru-RU"/>
        </w:rPr>
        <w:t xml:space="preserve"> от 16.02.2017 </w:t>
      </w:r>
      <w:r>
        <w:t>N</w:t>
      </w:r>
      <w:r>
        <w:rPr>
          <w:lang w:val="ru-RU"/>
        </w:rPr>
        <w:t xml:space="preserve"> 58. Выписка должна быть выдана не ранее чем за месяц до даты окончания срока подачи заявок.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 (7) Участник торгов, ответственный за поставку и работы по серверному оборудованию, по системам хранения данных, видеоконференцсвязи, телекоммуникационного оборудования, должен иметь один из партнерских статусов от производителя предлагаемого оборудования, а именно систем хранения данных, серверного оборудования, видеоконференцсвязи и телекоммуникационного оборудования.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 xml:space="preserve"> Участник торгов (или один из партнеров совместного предприятия) должен иметь: 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>(8) действующую лицензию Федеральной службы по техническому и экспортному контролю на деятельность по технической защите конфиденциальной информации, или предоставить описание выполненных и планируемых действий, позволяющих обеспечить получение данной лицензии к моменту присуждения контракта;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>(9) действующую лицензию Федеральной Службы Безопасности  России на проведение работ, связанных с использованием сведений, составляющих государственную тайну, или предоставить описание выполненных и планируемых действий, позволяющих обеспечить получение данной лицензии к моменту присуждения контракта;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lastRenderedPageBreak/>
        <w:t>(10) действующую лицензию Министерства Чрезвычайных Ситуаций Российской Федерации на выполнение работ по проектированию, монтажу противопожарных систем (противопожарная сигнализация, система оповещения и управления эвакуацией при пожаре), или предоставить описание выполненных и планируемых действий, позволяющих обеспечить получение данной лицензии к моменту присуждения контракта.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  <w:r>
        <w:rPr>
          <w:lang w:val="ru-RU"/>
        </w:rPr>
        <w:t>(11) центры гарантийного обслуживания поставляемого оборудования и программного обеспечения или должен представить как часть предварительного плана проекта подробный план по организации таких центров гарантийного обслуживания, или партнерские отношения с местными центрами гарантийного обслуживания для обеспечения гарантийного обслуживания и технической поддержки на условиях, указанных в конкурсной документации. Копии контрактов, заключенных с субподрядчиками на организацию гарантийного обслуживания, должны быть представлены Участником торгов Заказчику до подписания Контрактного соглашения.</w:t>
      </w:r>
    </w:p>
    <w:p w:rsidR="00110163" w:rsidRDefault="00110163" w:rsidP="00110163">
      <w:pPr>
        <w:spacing w:before="120"/>
        <w:ind w:left="720"/>
        <w:jc w:val="both"/>
        <w:rPr>
          <w:lang w:val="ru-RU"/>
        </w:rPr>
      </w:pP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Заинтересованные правомочные Участники торгов могут получить более подробную информацию в офисе ФРП и ознакомиться с документацией для торгов по указанному ниже адресу с 10:00 до 18:00 по московскому времени.</w:t>
      </w: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Заинтересованные Участники могут приобрести полный комплект документации для торгов на английском и русском языках после направления письменной заявки по указанному ниже адресу и оплаты невозмещаемого комиссионного сбора в сумме 6.000,00 российских рублей (не облагается НДС) или в сумме 100 долларов США. Платеж осуществляется прямым переводом на следующие счета: </w:t>
      </w:r>
    </w:p>
    <w:p w:rsidR="00110163" w:rsidRDefault="00110163" w:rsidP="00110163">
      <w:pPr>
        <w:shd w:val="clear" w:color="auto" w:fill="FFFFFF"/>
        <w:tabs>
          <w:tab w:val="num" w:pos="1134"/>
        </w:tabs>
        <w:ind w:left="426"/>
        <w:rPr>
          <w:u w:val="single"/>
          <w:lang w:val="ru-RU"/>
        </w:rPr>
      </w:pPr>
      <w:r>
        <w:rPr>
          <w:u w:val="single"/>
          <w:lang w:val="ru-RU"/>
        </w:rPr>
        <w:t xml:space="preserve">- для платежей в российских рублях: 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 xml:space="preserve">Получатель: Межрегиональное операционное управление Федерального казначейства (Министерство финансов Российской Федерации) 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 xml:space="preserve">ИНН: 7710168360 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>КПП: 771001001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 xml:space="preserve">ОКТМО: 45382000 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 xml:space="preserve">Банк получателя: ОПЕРУ-1 Банка России, Москва 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>БИК 044501002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r>
        <w:rPr>
          <w:lang w:val="ru-RU"/>
        </w:rPr>
        <w:t>Счет: 40101810500000001901</w:t>
      </w:r>
    </w:p>
    <w:p w:rsidR="00110163" w:rsidRDefault="00110163" w:rsidP="00110163">
      <w:pPr>
        <w:shd w:val="clear" w:color="auto" w:fill="FFFFFF"/>
        <w:tabs>
          <w:tab w:val="left" w:pos="0"/>
          <w:tab w:val="num" w:pos="1134"/>
        </w:tabs>
        <w:ind w:left="422"/>
        <w:rPr>
          <w:lang w:val="ru-RU"/>
        </w:rPr>
      </w:pPr>
      <w:proofErr w:type="gramStart"/>
      <w:r>
        <w:rPr>
          <w:lang w:val="ru-RU"/>
        </w:rPr>
        <w:t>(пожалуйста, в поле 104 платежного поручения и в назначении платежа укажите: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КБК 092 1 10 07000 01 6000 110, «невозмещаемый комиссионный сбор с участников торгов по займу № 17RU01, пакет № JSSP/ICB/1.1.3»; «НДС не облагается»);  </w:t>
      </w:r>
      <w:proofErr w:type="gramEnd"/>
    </w:p>
    <w:p w:rsidR="00110163" w:rsidRDefault="00110163" w:rsidP="00110163">
      <w:pPr>
        <w:pStyle w:val="a5"/>
        <w:shd w:val="clear" w:color="auto" w:fill="FFFFFF"/>
        <w:ind w:left="858" w:firstLine="29"/>
        <w:rPr>
          <w:lang w:val="ru-RU"/>
        </w:rPr>
      </w:pPr>
    </w:p>
    <w:p w:rsidR="00110163" w:rsidRDefault="00110163" w:rsidP="00110163">
      <w:pPr>
        <w:pStyle w:val="a5"/>
        <w:shd w:val="clear" w:color="auto" w:fill="FFFFFF"/>
        <w:ind w:left="426"/>
        <w:rPr>
          <w:u w:val="single"/>
          <w:lang w:val="ru-RU"/>
        </w:rPr>
      </w:pPr>
      <w:r>
        <w:rPr>
          <w:u w:val="single"/>
          <w:lang w:val="ru-RU"/>
        </w:rPr>
        <w:t xml:space="preserve">- для платежей в долларах США: 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 xml:space="preserve">Beneficiary: </w:t>
      </w:r>
      <w:proofErr w:type="spellStart"/>
      <w:r>
        <w:t>Mezhregionalnoye</w:t>
      </w:r>
      <w:proofErr w:type="spellEnd"/>
      <w:r>
        <w:t xml:space="preserve"> </w:t>
      </w:r>
      <w:proofErr w:type="spellStart"/>
      <w:r>
        <w:t>Operacionnoe</w:t>
      </w:r>
      <w:proofErr w:type="spellEnd"/>
      <w:r>
        <w:t xml:space="preserve"> UFK 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>Beneficiary Bank: Central Bank of Russian Federation Moscow RU (CBRFRUMM)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>Beneficiary Account: 40105840</w:t>
      </w:r>
      <w:r w:rsidRPr="00110163">
        <w:t>3</w:t>
      </w:r>
      <w:r>
        <w:t>000000</w:t>
      </w:r>
      <w:r w:rsidRPr="00110163">
        <w:t>0</w:t>
      </w:r>
      <w:r>
        <w:t>2901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>Beneficiary Bank Account: 0011907227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>Intermediary Bank: JPMorgan Chase Bank N.A., New York, (CHASUS33)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 xml:space="preserve">In the field “Beneficiary» please also </w:t>
      </w:r>
      <w:proofErr w:type="gramStart"/>
      <w:r>
        <w:t>indicate</w:t>
      </w:r>
      <w:proofErr w:type="gramEnd"/>
      <w:r>
        <w:t>: INN: 7710168360, KPP: 771001001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  <w:r>
        <w:t>Please indicate in the field “Details of payment”: KBK 092 1 10 07000 01 6000 110, non-refundable fee of bidders under the loan No. 17RU01, package JSSP/ICB/1.1.3.; VAT exempt).</w:t>
      </w:r>
    </w:p>
    <w:p w:rsidR="00110163" w:rsidRDefault="00110163" w:rsidP="00110163">
      <w:pPr>
        <w:shd w:val="clear" w:color="auto" w:fill="FFFFFF"/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2"/>
      </w:pPr>
    </w:p>
    <w:p w:rsidR="00110163" w:rsidRDefault="00110163" w:rsidP="00110163">
      <w:pPr>
        <w:shd w:val="clear" w:color="auto" w:fill="FFFFFF"/>
        <w:ind w:left="447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 xml:space="preserve">В заявлении на получение документации для торгов должна быть представлена следующая информация:  а) название потенциального Участника торгов, </w:t>
      </w:r>
      <w:proofErr w:type="spellStart"/>
      <w:r>
        <w:rPr>
          <w:lang w:val="ru-RU"/>
        </w:rPr>
        <w:t>b</w:t>
      </w:r>
      <w:proofErr w:type="spellEnd"/>
      <w:r>
        <w:rPr>
          <w:lang w:val="ru-RU"/>
        </w:rPr>
        <w:t xml:space="preserve">) адрес, по которому следует направить тендерные документы, с) номер телефона и факса, </w:t>
      </w:r>
      <w:proofErr w:type="spellStart"/>
      <w:r>
        <w:rPr>
          <w:lang w:val="ru-RU"/>
        </w:rPr>
        <w:t>d</w:t>
      </w:r>
      <w:proofErr w:type="spellEnd"/>
      <w:r>
        <w:rPr>
          <w:lang w:val="ru-RU"/>
        </w:rPr>
        <w:t>) заявление о том, что запрашиваемые тендерные документы предназначаются для контракта № JSSP/ICB/1.1.3 «Строительство зданий для 4-х районных судов города Москвы (</w:t>
      </w:r>
      <w:proofErr w:type="spellStart"/>
      <w:r>
        <w:rPr>
          <w:lang w:val="ru-RU"/>
        </w:rPr>
        <w:t>Кузьминский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Чертановский</w:t>
      </w:r>
      <w:proofErr w:type="spellEnd"/>
      <w:r>
        <w:rPr>
          <w:lang w:val="ru-RU"/>
        </w:rPr>
        <w:t xml:space="preserve">, Савеловский, </w:t>
      </w:r>
      <w:proofErr w:type="spellStart"/>
      <w:r>
        <w:rPr>
          <w:lang w:val="ru-RU"/>
        </w:rPr>
        <w:t>Коптевский</w:t>
      </w:r>
      <w:proofErr w:type="spellEnd"/>
      <w:r>
        <w:rPr>
          <w:lang w:val="ru-RU"/>
        </w:rPr>
        <w:t>)  (1 очередь)» и е</w:t>
      </w:r>
      <w:proofErr w:type="gramEnd"/>
      <w:r>
        <w:rPr>
          <w:lang w:val="ru-RU"/>
        </w:rPr>
        <w:t xml:space="preserve">) предпочтительный способ доставки тендерных документов.  К заявлению прилагается документарное подтверждение оплаты невозмещаемого сбора. Любая информация, касающаяся процесса проведения торгов, будет направлена потенциальному Участнику торгов по адресу, указанному в заявлении на получение документации для торгов. 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4" w:hanging="11"/>
        <w:jc w:val="both"/>
        <w:rPr>
          <w:lang w:val="ru-RU"/>
        </w:rPr>
      </w:pPr>
      <w:r>
        <w:rPr>
          <w:lang w:val="ru-RU"/>
        </w:rPr>
        <w:tab/>
        <w:t>После получения письменного заявления и подтверждения оплаты  один комплект тендерных документов высылается авиапочтой при отправке документов за границу и обычной почтой при пересылке документов внутри страны. Также, по просьбе Участника торгов, ФРП может отправить тендерные документы курьерской почтой за счет потенциального Участника торгов.  В этом случае потенциальный Участник торгов должен указать название соответствующей курьерской службы и номер своего счета для оплаты данных курьерских услуг.  Участники торгов могут организовать получение курьером тендерных документов в офисе ФРП по адресу, указанному далее.  Данные способы получения документов должны быть скоординированы с контактным лицом, указанным ниже.</w:t>
      </w:r>
    </w:p>
    <w:p w:rsidR="00C07E9D" w:rsidRDefault="00C07E9D" w:rsidP="00110163">
      <w:pPr>
        <w:numPr>
          <w:ilvl w:val="12"/>
          <w:numId w:val="0"/>
        </w:numPr>
        <w:shd w:val="clear" w:color="auto" w:fill="FFFFFF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4" w:hanging="11"/>
        <w:jc w:val="both"/>
        <w:rPr>
          <w:lang w:val="ru-RU"/>
        </w:rPr>
      </w:pP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Конкурсные предложения должны быть доставлены по указанному ниже адресу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или до наступления 14:00 по московскому времени 18 марта 2021 года. Ко всем конкурсным предложениям должно прилагаться залоговое обеспечение. Сумма залогового обеспечения составляет 50.000.000,00 (пятьдесят миллионов) Российских рублей для Лота № 1 и  50.000.000,00 (пятьдесят миллионов) Российских рублей для Лота № 2, или эквивалентную сумму в валюте конкурсного предложения, или эквивалентную сумму в свободно конвертируемой валюте. Конкурсные предложения, доставленные после указанного срока, отклоняются.  Вскрытие конвертов с конкурсными предложениями состоится в присутствии представителей Участников торгов, которые пожелают посетить это мероприятие, по указанному ниже адресу в 14:00 по московскому времени 18 марта 2021 года.</w:t>
      </w: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>Просим потенциальных Участников торгов обратить внимание на то, что (</w:t>
      </w:r>
      <w:proofErr w:type="spellStart"/>
      <w:r>
        <w:rPr>
          <w:lang w:val="ru-RU"/>
        </w:rPr>
        <w:t>i</w:t>
      </w:r>
      <w:proofErr w:type="spellEnd"/>
      <w:r>
        <w:rPr>
          <w:lang w:val="ru-RU"/>
        </w:rPr>
        <w:t>) в своих предложениях они должны подтвердить, что все программные продукты либо поставляются на основании действующей лицензии, либо разработаны самим Участником торгов; и что (</w:t>
      </w:r>
      <w:proofErr w:type="spellStart"/>
      <w:proofErr w:type="gramStart"/>
      <w:r>
        <w:rPr>
          <w:lang w:val="ru-RU"/>
        </w:rPr>
        <w:t>ii</w:t>
      </w:r>
      <w:proofErr w:type="spellEnd"/>
      <w:r>
        <w:rPr>
          <w:lang w:val="ru-RU"/>
        </w:rPr>
        <w:t xml:space="preserve">) </w:t>
      </w:r>
      <w:proofErr w:type="gramEnd"/>
      <w:r>
        <w:rPr>
          <w:lang w:val="ru-RU"/>
        </w:rPr>
        <w:t>нарушения данного условия квалифицируются как мошенничество, что, грозит запретом на присуждение контрактов, финансируемых НБР.</w:t>
      </w:r>
    </w:p>
    <w:p w:rsidR="00110163" w:rsidRDefault="00110163" w:rsidP="00110163">
      <w:pPr>
        <w:numPr>
          <w:ilvl w:val="0"/>
          <w:numId w:val="1"/>
        </w:numPr>
        <w:shd w:val="clear" w:color="auto" w:fill="FFFFFF"/>
        <w:tabs>
          <w:tab w:val="clear" w:pos="2160"/>
          <w:tab w:val="num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/>
        <w:ind w:left="426" w:hanging="426"/>
        <w:jc w:val="both"/>
        <w:rPr>
          <w:lang w:val="ru-RU"/>
        </w:rPr>
      </w:pPr>
      <w:r>
        <w:rPr>
          <w:lang w:val="ru-RU"/>
        </w:rPr>
        <w:t xml:space="preserve">Адрес, упоминавшийся выше, следующий: </w:t>
      </w:r>
    </w:p>
    <w:p w:rsidR="00110163" w:rsidRDefault="00110163" w:rsidP="00110163">
      <w:pPr>
        <w:shd w:val="clear" w:color="auto" w:fill="FFFFFF"/>
        <w:ind w:left="426"/>
        <w:rPr>
          <w:lang w:val="ru-RU"/>
        </w:rPr>
      </w:pPr>
      <w:r>
        <w:rPr>
          <w:lang w:val="ru-RU"/>
        </w:rPr>
        <w:t>Некоммерческий фонд реструктуризации предприятий и развития финансовых институтов</w:t>
      </w:r>
    </w:p>
    <w:p w:rsidR="00110163" w:rsidRDefault="00110163" w:rsidP="00110163">
      <w:pPr>
        <w:shd w:val="clear" w:color="auto" w:fill="FFFFFF"/>
        <w:ind w:left="426"/>
        <w:rPr>
          <w:lang w:val="ru-RU"/>
        </w:rPr>
      </w:pPr>
      <w:r>
        <w:rPr>
          <w:lang w:val="ru-RU"/>
        </w:rPr>
        <w:t xml:space="preserve">Российская Федерация, Москва, 119270, улица </w:t>
      </w:r>
      <w:proofErr w:type="spellStart"/>
      <w:r>
        <w:rPr>
          <w:lang w:val="ru-RU"/>
        </w:rPr>
        <w:t>Лужнецкая</w:t>
      </w:r>
      <w:proofErr w:type="spellEnd"/>
      <w:r>
        <w:rPr>
          <w:lang w:val="ru-RU"/>
        </w:rPr>
        <w:t xml:space="preserve"> набережная, 2/4, строение 16, 2-й этаж, комната 202</w:t>
      </w:r>
    </w:p>
    <w:p w:rsidR="00110163" w:rsidRDefault="00110163" w:rsidP="00110163">
      <w:pPr>
        <w:shd w:val="clear" w:color="auto" w:fill="FFFFFF"/>
        <w:ind w:left="426"/>
        <w:rPr>
          <w:lang w:val="ru-RU"/>
        </w:rPr>
      </w:pPr>
      <w:r>
        <w:rPr>
          <w:lang w:val="ru-RU"/>
        </w:rPr>
        <w:t>Номер телефона: + 7-495-792-3010</w:t>
      </w:r>
    </w:p>
    <w:p w:rsidR="00110163" w:rsidRDefault="00110163" w:rsidP="00110163">
      <w:pPr>
        <w:shd w:val="clear" w:color="auto" w:fill="FFFFFF"/>
        <w:ind w:left="426"/>
        <w:rPr>
          <w:lang w:val="ru-RU"/>
        </w:rPr>
      </w:pPr>
      <w:r>
        <w:rPr>
          <w:lang w:val="ru-RU"/>
        </w:rPr>
        <w:t>Номер факса: +7-495-792-5811</w:t>
      </w:r>
    </w:p>
    <w:p w:rsidR="00110163" w:rsidRDefault="00110163" w:rsidP="00110163">
      <w:pPr>
        <w:shd w:val="clear" w:color="auto" w:fill="FFFFFF"/>
        <w:ind w:left="426"/>
        <w:rPr>
          <w:lang w:val="ru-RU"/>
        </w:rPr>
      </w:pPr>
      <w:r>
        <w:rPr>
          <w:lang w:val="ru-RU"/>
        </w:rPr>
        <w:t xml:space="preserve">Адрес электронной почты: </w:t>
      </w:r>
      <w:r>
        <w:t>procurement</w:t>
      </w:r>
      <w:r>
        <w:rPr>
          <w:lang w:val="ru-RU"/>
        </w:rPr>
        <w:t>@</w:t>
      </w:r>
      <w:proofErr w:type="spellStart"/>
      <w:r>
        <w:t>fer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</w:p>
    <w:p w:rsidR="00110163" w:rsidRDefault="00110163" w:rsidP="00110163">
      <w:pPr>
        <w:pStyle w:val="a3"/>
        <w:shd w:val="clear" w:color="auto" w:fill="FFFFFF"/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Контактное лицо: г-н В.А.Бондаренко, руководитель отдела закупок</w:t>
      </w:r>
    </w:p>
    <w:p w:rsidR="00110163" w:rsidRDefault="00110163" w:rsidP="00110163">
      <w:pPr>
        <w:numPr>
          <w:ilvl w:val="12"/>
          <w:numId w:val="0"/>
        </w:numPr>
        <w:shd w:val="clear" w:color="auto" w:fill="FFFFFF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Веб-сайт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www.fer.ru</w:t>
      </w:r>
      <w:proofErr w:type="spellEnd"/>
    </w:p>
    <w:sectPr w:rsidR="00110163" w:rsidSect="00C07E9D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9D" w:rsidRDefault="00C07E9D" w:rsidP="008C051D">
      <w:r>
        <w:separator/>
      </w:r>
    </w:p>
  </w:endnote>
  <w:endnote w:type="continuationSeparator" w:id="0">
    <w:p w:rsidR="00C07E9D" w:rsidRDefault="00C07E9D" w:rsidP="008C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71532"/>
      <w:docPartObj>
        <w:docPartGallery w:val="Page Numbers (Bottom of Page)"/>
        <w:docPartUnique/>
      </w:docPartObj>
    </w:sdtPr>
    <w:sdtContent>
      <w:p w:rsidR="00C07E9D" w:rsidRDefault="00BE71BD">
        <w:pPr>
          <w:pStyle w:val="ac"/>
          <w:jc w:val="right"/>
        </w:pPr>
        <w:fldSimple w:instr=" PAGE   \* MERGEFORMAT ">
          <w:r w:rsidR="00814417">
            <w:rPr>
              <w:noProof/>
            </w:rPr>
            <w:t>5</w:t>
          </w:r>
        </w:fldSimple>
      </w:p>
    </w:sdtContent>
  </w:sdt>
  <w:p w:rsidR="00C07E9D" w:rsidRDefault="00C07E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9D" w:rsidRDefault="00C07E9D" w:rsidP="008C051D">
      <w:r>
        <w:separator/>
      </w:r>
    </w:p>
  </w:footnote>
  <w:footnote w:type="continuationSeparator" w:id="0">
    <w:p w:rsidR="00C07E9D" w:rsidRDefault="00C07E9D" w:rsidP="008C0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BD9"/>
    <w:multiLevelType w:val="hybridMultilevel"/>
    <w:tmpl w:val="325EA00C"/>
    <w:lvl w:ilvl="0" w:tplc="680296D8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b w:val="0"/>
        <w:i w:val="0"/>
        <w:sz w:val="24"/>
        <w:szCs w:val="24"/>
      </w:rPr>
    </w:lvl>
    <w:lvl w:ilvl="1" w:tplc="40A2D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02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8A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69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8C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69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84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E0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163"/>
    <w:rsid w:val="00110163"/>
    <w:rsid w:val="002B277A"/>
    <w:rsid w:val="005337F6"/>
    <w:rsid w:val="007C4956"/>
    <w:rsid w:val="00814417"/>
    <w:rsid w:val="008C051D"/>
    <w:rsid w:val="00B37BA1"/>
    <w:rsid w:val="00BE71BD"/>
    <w:rsid w:val="00C0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1"/>
    <w:semiHidden/>
    <w:unhideWhenUsed/>
    <w:rsid w:val="00110163"/>
    <w:pPr>
      <w:tabs>
        <w:tab w:val="left" w:pos="-720"/>
      </w:tabs>
      <w:suppressAutoHyphens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101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0163"/>
    <w:pPr>
      <w:ind w:left="60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016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Subtitle"/>
    <w:basedOn w:val="a"/>
    <w:link w:val="a8"/>
    <w:uiPriority w:val="99"/>
    <w:qFormat/>
    <w:rsid w:val="00110163"/>
    <w:pPr>
      <w:spacing w:before="120" w:after="240"/>
      <w:jc w:val="center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rsid w:val="00110163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ChapterNumber">
    <w:name w:val="ChapterNumber"/>
    <w:semiHidden/>
    <w:rsid w:val="00110163"/>
    <w:pPr>
      <w:tabs>
        <w:tab w:val="left" w:pos="-720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Heading1a">
    <w:name w:val="Heading 1a"/>
    <w:semiHidden/>
    <w:rsid w:val="00110163"/>
    <w:pPr>
      <w:keepNext/>
      <w:keepLines/>
      <w:tabs>
        <w:tab w:val="left" w:pos="-72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ru-RU"/>
    </w:rPr>
  </w:style>
  <w:style w:type="character" w:styleId="a9">
    <w:name w:val="annotation reference"/>
    <w:semiHidden/>
    <w:unhideWhenUsed/>
    <w:rsid w:val="00110163"/>
    <w:rPr>
      <w:sz w:val="16"/>
    </w:rPr>
  </w:style>
  <w:style w:type="character" w:customStyle="1" w:styleId="1">
    <w:name w:val="Текст концевой сноски Знак1"/>
    <w:link w:val="a3"/>
    <w:semiHidden/>
    <w:locked/>
    <w:rsid w:val="001101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preparersnote">
    <w:name w:val="preparer's note"/>
    <w:rsid w:val="00110163"/>
    <w:rPr>
      <w:b/>
      <w:bCs w:val="0"/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C05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51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8C05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051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valeryb</dc:creator>
  <cp:lastModifiedBy>iav</cp:lastModifiedBy>
  <cp:revision>4</cp:revision>
  <dcterms:created xsi:type="dcterms:W3CDTF">2020-12-30T08:18:00Z</dcterms:created>
  <dcterms:modified xsi:type="dcterms:W3CDTF">2021-01-11T09:19:00Z</dcterms:modified>
</cp:coreProperties>
</file>